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sz w:val="30"/>
          <w:szCs w:val="30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4" w:lineRule="auto"/>
        <w:rPr>
          <w:rStyle w:val="Ninguno"/>
          <w:rFonts w:ascii="Times Roman" w:cs="Times Roman" w:hAnsi="Times Roman" w:eastAsia="Times Roman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auto"/>
        <w:jc w:val="both"/>
        <w:rPr>
          <w:rStyle w:val="Ninguno"/>
          <w:rFonts w:ascii="Arial" w:cs="Arial" w:hAnsi="Arial" w:eastAsia="Arial"/>
          <w:b w:val="0"/>
          <w:bCs w:val="0"/>
          <w:i w:val="0"/>
          <w:iCs w:val="0"/>
          <w:outline w:val="0"/>
          <w:color w:val="222222"/>
          <w:sz w:val="28"/>
          <w:szCs w:val="28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rStyle w:val="Ninguno"/>
          <w:rFonts w:ascii="Arial" w:cs="Arial" w:hAnsi="Arial" w:eastAsia="Arial"/>
          <w:b w:val="0"/>
          <w:bCs w:val="0"/>
          <w:i w:val="0"/>
          <w:iCs w:val="0"/>
          <w:outline w:val="0"/>
          <w:color w:val="222222"/>
          <w:sz w:val="26"/>
          <w:szCs w:val="26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Por omisió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entury Gothic" w:cs="Century Gothic" w:hAnsi="Century Gothic" w:eastAsia="Century Gothic"/>
          <w:b w:val="1"/>
          <w:bCs w:val="1"/>
          <w:i w:val="0"/>
          <w:iCs w:val="0"/>
          <w:sz w:val="40"/>
          <w:szCs w:val="40"/>
          <w:u w:color="009036"/>
          <w14:textOutline>
            <w14:noFill/>
          </w14:textOutline>
        </w:rPr>
      </w:pPr>
      <w:r>
        <w:rPr>
          <w:rStyle w:val="Ninguno"/>
          <w:rFonts w:ascii="Century Gothic" w:hAnsi="Century Gothic"/>
          <w:b w:val="1"/>
          <w:bCs w:val="1"/>
          <w:i w:val="0"/>
          <w:iCs w:val="0"/>
          <w:sz w:val="40"/>
          <w:szCs w:val="40"/>
          <w:u w:color="009036"/>
          <w:rtl w:val="0"/>
          <w:lang w:val="es-ES_tradnl"/>
          <w14:textOutline>
            <w14:noFill/>
          </w14:textOutline>
        </w:rPr>
        <w:t>El C</w:t>
      </w:r>
      <w:r>
        <w:rPr>
          <w:rStyle w:val="Ninguno"/>
          <w:rFonts w:ascii="Century Gothic" w:hAnsi="Century Gothic"/>
          <w:b w:val="1"/>
          <w:bCs w:val="1"/>
          <w:i w:val="0"/>
          <w:iCs w:val="0"/>
          <w:sz w:val="40"/>
          <w:szCs w:val="40"/>
          <w:u w:color="009036"/>
          <w:rtl w:val="0"/>
          <w:lang w:val="es-ES_tradnl"/>
          <w14:textOutline>
            <w14:noFill/>
          </w14:textOutline>
        </w:rPr>
        <w:t>onsorcio Sector II</w:t>
      </w:r>
      <w:r>
        <w:rPr>
          <w:rStyle w:val="Ninguno"/>
          <w:rFonts w:ascii="Century Gothic" w:hAnsi="Century Gothic"/>
          <w:b w:val="1"/>
          <w:bCs w:val="1"/>
          <w:i w:val="0"/>
          <w:iCs w:val="0"/>
          <w:sz w:val="40"/>
          <w:szCs w:val="40"/>
          <w:u w:color="009036"/>
          <w:rtl w:val="0"/>
          <w:lang w:val="es-ES_tradnl"/>
          <w14:textOutline>
            <w14:noFill/>
          </w14:textOutline>
        </w:rPr>
        <w:t xml:space="preserve">, Ecovidrio y Velefique, </w:t>
      </w:r>
      <w:r>
        <w:rPr>
          <w:rStyle w:val="Ninguno"/>
          <w:rFonts w:ascii="Century Gothic" w:hAnsi="Century Gothic"/>
          <w:b w:val="1"/>
          <w:bCs w:val="1"/>
          <w:i w:val="0"/>
          <w:iCs w:val="0"/>
          <w:sz w:val="40"/>
          <w:szCs w:val="40"/>
          <w:u w:color="009036"/>
          <w:rtl w:val="0"/>
          <w:lang w:val="es-ES_tradnl"/>
          <w14:textOutline>
            <w14:noFill/>
          </w14:textOutline>
        </w:rPr>
        <w:t xml:space="preserve">con el reciclaje de vidrio </w:t>
      </w:r>
    </w:p>
    <w:p>
      <w:pPr>
        <w:pStyle w:val="Por omisió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entury Gothic" w:cs="Century Gothic" w:hAnsi="Century Gothic" w:eastAsia="Century Gothic"/>
          <w:b w:val="1"/>
          <w:bCs w:val="1"/>
          <w:i w:val="0"/>
          <w:iCs w:val="0"/>
          <w:outline w:val="0"/>
          <w:color w:val="009036"/>
          <w:sz w:val="40"/>
          <w:szCs w:val="40"/>
          <w:u w:color="009036"/>
          <w14:textOutline>
            <w14:noFill/>
          </w14:textOutline>
          <w14:textFill>
            <w14:solidFill>
              <w14:srgbClr w14:val="009036"/>
            </w14:solidFill>
          </w14:textFill>
        </w:rPr>
      </w:pPr>
      <w:r>
        <w:rPr>
          <w:rStyle w:val="Ninguno"/>
          <w:rFonts w:ascii="Century Gothic" w:hAnsi="Century Gothic"/>
          <w:b w:val="1"/>
          <w:bCs w:val="1"/>
          <w:i w:val="0"/>
          <w:iCs w:val="0"/>
          <w:sz w:val="40"/>
          <w:szCs w:val="40"/>
          <w:u w:color="009036"/>
          <w:rtl w:val="0"/>
          <w:lang w:val="es-ES_tradnl"/>
          <w14:textOutline>
            <w14:noFill/>
          </w14:textOutline>
        </w:rPr>
        <w:t>durante La Vuelta</w:t>
      </w:r>
    </w:p>
    <w:p>
      <w:pPr>
        <w:pStyle w:val="Por omisió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entury Gothic" w:cs="Century Gothic" w:hAnsi="Century Gothic" w:eastAsia="Century Gothic"/>
          <w:i w:val="0"/>
          <w:iCs w:val="0"/>
          <w:outline w:val="0"/>
          <w:color w:val="009036"/>
          <w:sz w:val="22"/>
          <w:szCs w:val="22"/>
          <w:u w:color="009036"/>
          <w14:textOutline>
            <w14:noFill/>
          </w14:textOutline>
          <w14:textFill>
            <w14:solidFill>
              <w14:srgbClr w14:val="009036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ff0000"/>
          <w:u w:color="ff0000"/>
          <w14:textOutline>
            <w14:noFill/>
          </w14:textOutline>
          <w14:textFill>
            <w14:solidFill>
              <w14:srgbClr w14:val="FF0000"/>
            </w14:solidFill>
          </w14:textFill>
        </w:rPr>
      </w:pPr>
    </w:p>
    <w:p>
      <w:pPr>
        <w:pStyle w:val="Por omisión"/>
        <w:numPr>
          <w:ilvl w:val="0"/>
          <w:numId w:val="2"/>
        </w:numPr>
        <w:bidi w:val="0"/>
        <w:ind w:right="0"/>
        <w:jc w:val="both"/>
        <w:rPr>
          <w:rFonts w:ascii="Century Gothic" w:hAnsi="Century Gothic"/>
          <w:i w:val="0"/>
          <w:iCs w:val="0"/>
          <w:rtl w:val="0"/>
          <w:lang w:val="es-ES_tradnl"/>
          <w14:textOutline>
            <w14:noFill/>
          </w14:textOutline>
        </w:rPr>
      </w:pPr>
      <w:r>
        <w:rPr>
          <w:rFonts w:ascii="Century Gothic" w:hAnsi="Century Gothic"/>
          <w:i w:val="0"/>
          <w:iCs w:val="0"/>
          <w:rtl w:val="0"/>
          <w:lang w:val="es-ES_tradnl"/>
          <w14:textOutline>
            <w14:noFill/>
          </w14:textOutline>
        </w:rPr>
        <w:t>Ecovidrio vinilar</w:t>
      </w:r>
      <w:r>
        <w:rPr>
          <w:rFonts w:ascii="Century Gothic" w:hAnsi="Century Gothic" w:hint="default"/>
          <w:i w:val="0"/>
          <w:iCs w:val="0"/>
          <w:rtl w:val="0"/>
          <w:lang w:val="es-ES_tradnl"/>
          <w14:textOutline>
            <w14:noFill/>
          </w14:textOutline>
        </w:rPr>
        <w:t xml:space="preserve">á </w:t>
      </w:r>
      <w:r>
        <w:rPr>
          <w:rFonts w:ascii="Century Gothic" w:hAnsi="Century Gothic"/>
          <w:i w:val="0"/>
          <w:iCs w:val="0"/>
          <w:rtl w:val="0"/>
          <w:lang w:val="es-ES_tradnl"/>
          <w14:textOutline>
            <w14:noFill/>
          </w14:textOutline>
        </w:rPr>
        <w:t>los contenedores en el municipio de Velefique para concienciar sobre el cuidado del medioambiente y promover la sostenibilidad durante la competici</w:t>
      </w:r>
      <w:r>
        <w:rPr>
          <w:rFonts w:ascii="Century Gothic" w:hAnsi="Century Gothic" w:hint="default"/>
          <w:i w:val="0"/>
          <w:iCs w:val="0"/>
          <w:rtl w:val="0"/>
          <w:lang w:val="es-ES_tradnl"/>
          <w14:textOutline>
            <w14:noFill/>
          </w14:textOutline>
        </w:rPr>
        <w:t>ó</w:t>
      </w:r>
      <w:r>
        <w:rPr>
          <w:rFonts w:ascii="Century Gothic" w:hAnsi="Century Gothic"/>
          <w:i w:val="0"/>
          <w:iCs w:val="0"/>
          <w:rtl w:val="0"/>
          <w:lang w:val="es-ES_tradnl"/>
          <w14:textOutline>
            <w14:noFill/>
          </w14:textOutline>
        </w:rPr>
        <w:t>n</w:t>
      </w:r>
    </w:p>
    <w:p>
      <w:pPr>
        <w:pStyle w:val="Por omisió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firstLine="0"/>
        <w:jc w:val="both"/>
        <w:rPr>
          <w:rFonts w:ascii="Century Gothic" w:cs="Century Gothic" w:hAnsi="Century Gothic" w:eastAsia="Century Gothic"/>
          <w:i w:val="0"/>
          <w:iCs w:val="0"/>
          <w14:textOutline>
            <w14:noFill/>
          </w14:textOutline>
        </w:rPr>
      </w:pPr>
    </w:p>
    <w:p>
      <w:pPr>
        <w:pStyle w:val="Por omisión"/>
        <w:numPr>
          <w:ilvl w:val="0"/>
          <w:numId w:val="2"/>
        </w:numPr>
        <w:bidi w:val="0"/>
        <w:ind w:right="0"/>
        <w:jc w:val="both"/>
        <w:rPr>
          <w:rFonts w:ascii="Century Gothic" w:hAnsi="Century Gothic"/>
          <w:i w:val="0"/>
          <w:iCs w:val="0"/>
          <w:rtl w:val="0"/>
          <w:lang w:val="es-ES_tradnl"/>
          <w14:textOutline>
            <w14:noFill/>
          </w14:textOutline>
        </w:rPr>
      </w:pPr>
      <w:r>
        <w:rPr>
          <w:rFonts w:ascii="Century Gothic" w:hAnsi="Century Gothic"/>
          <w:i w:val="0"/>
          <w:iCs w:val="0"/>
          <w:rtl w:val="0"/>
          <w:lang w:val="es-ES_tradnl"/>
          <w14:textOutline>
            <w14:noFill/>
          </w14:textOutline>
        </w:rPr>
        <w:t>Con el vidrio reciclado por los vecinos, Ecovidrio dise</w:t>
      </w:r>
      <w:r>
        <w:rPr>
          <w:rFonts w:ascii="Century Gothic" w:hAnsi="Century Gothic" w:hint="default"/>
          <w:i w:val="0"/>
          <w:iCs w:val="0"/>
          <w:rtl w:val="0"/>
          <w:lang w:val="es-ES_tradnl"/>
          <w14:textOutline>
            <w14:noFill/>
          </w14:textOutline>
        </w:rPr>
        <w:t>ñ</w:t>
      </w:r>
      <w:r>
        <w:rPr>
          <w:rFonts w:ascii="Century Gothic" w:hAnsi="Century Gothic"/>
          <w:i w:val="0"/>
          <w:iCs w:val="0"/>
          <w:rtl w:val="0"/>
          <w:lang w:val="es-ES_tradnl"/>
          <w14:textOutline>
            <w14:noFill/>
          </w14:textOutline>
        </w:rPr>
        <w:t>ar</w:t>
      </w:r>
      <w:r>
        <w:rPr>
          <w:rFonts w:ascii="Century Gothic" w:hAnsi="Century Gothic" w:hint="default"/>
          <w:i w:val="0"/>
          <w:iCs w:val="0"/>
          <w:rtl w:val="0"/>
          <w:lang w:val="es-ES_tradnl"/>
          <w14:textOutline>
            <w14:noFill/>
          </w14:textOutline>
        </w:rPr>
        <w:t xml:space="preserve">á </w:t>
      </w:r>
      <w:r>
        <w:rPr>
          <w:rFonts w:ascii="Century Gothic" w:hAnsi="Century Gothic"/>
          <w:i w:val="0"/>
          <w:iCs w:val="0"/>
          <w:rtl w:val="0"/>
          <w:lang w:val="es-ES_tradnl"/>
          <w14:textOutline>
            <w14:noFill/>
          </w14:textOutline>
        </w:rPr>
        <w:t>un trofeo que entregar</w:t>
      </w:r>
      <w:r>
        <w:rPr>
          <w:rFonts w:ascii="Century Gothic" w:hAnsi="Century Gothic" w:hint="default"/>
          <w:i w:val="0"/>
          <w:iCs w:val="0"/>
          <w:rtl w:val="0"/>
          <w:lang w:val="es-ES_tradnl"/>
          <w14:textOutline>
            <w14:noFill/>
          </w14:textOutline>
        </w:rPr>
        <w:t xml:space="preserve">á </w:t>
      </w:r>
      <w:r>
        <w:rPr>
          <w:rFonts w:ascii="Century Gothic" w:hAnsi="Century Gothic"/>
          <w:i w:val="0"/>
          <w:iCs w:val="0"/>
          <w:rtl w:val="0"/>
          <w:lang w:val="es-ES_tradnl"/>
          <w14:textOutline>
            <w14:noFill/>
          </w14:textOutline>
        </w:rPr>
        <w:t>al ganador de la etapa</w:t>
      </w:r>
    </w:p>
    <w:p>
      <w:pPr>
        <w:pStyle w:val="Por omisió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firstLine="0"/>
        <w:jc w:val="left"/>
        <w:rPr>
          <w:rFonts w:ascii="Century Gothic" w:cs="Century Gothic" w:hAnsi="Century Gothic" w:eastAsia="Century Gothic"/>
          <w:i w:val="0"/>
          <w:iCs w:val="0"/>
          <w14:textOutline>
            <w14:noFill/>
          </w14:textOutline>
        </w:rPr>
      </w:pPr>
    </w:p>
    <w:p>
      <w:pPr>
        <w:pStyle w:val="Por omisión"/>
        <w:numPr>
          <w:ilvl w:val="0"/>
          <w:numId w:val="2"/>
        </w:numPr>
        <w:bidi w:val="0"/>
        <w:ind w:right="0"/>
        <w:jc w:val="both"/>
        <w:rPr>
          <w:rFonts w:ascii="Century Gothic" w:hAnsi="Century Gothic"/>
          <w:i w:val="0"/>
          <w:iCs w:val="0"/>
          <w:rtl w:val="0"/>
          <w:lang w:val="es-ES_tradnl"/>
          <w14:textOutline>
            <w14:noFill/>
          </w14:textOutline>
        </w:rPr>
      </w:pPr>
      <w:r>
        <w:rPr>
          <w:rFonts w:ascii="Century Gothic" w:hAnsi="Century Gothic"/>
          <w:i w:val="0"/>
          <w:iCs w:val="0"/>
          <w:rtl w:val="0"/>
          <w:lang w:val="es-ES_tradnl"/>
          <w14:textOutline>
            <w14:noFill/>
          </w14:textOutline>
        </w:rPr>
        <w:t>El Pelot</w:t>
      </w:r>
      <w:r>
        <w:rPr>
          <w:rFonts w:ascii="Century Gothic" w:hAnsi="Century Gothic" w:hint="default"/>
          <w:i w:val="0"/>
          <w:iCs w:val="0"/>
          <w:rtl w:val="0"/>
          <w:lang w:val="es-ES_tradnl"/>
          <w14:textOutline>
            <w14:noFill/>
          </w14:textOutline>
        </w:rPr>
        <w:t>ó</w:t>
      </w:r>
      <w:r>
        <w:rPr>
          <w:rFonts w:ascii="Century Gothic" w:hAnsi="Century Gothic"/>
          <w:i w:val="0"/>
          <w:iCs w:val="0"/>
          <w:rtl w:val="0"/>
          <w:lang w:val="es-ES_tradnl"/>
          <w14:textOutline>
            <w14:noFill/>
          </w14:textOutline>
        </w:rPr>
        <w:t>n Verde de Ecovidrio realizar</w:t>
      </w:r>
      <w:r>
        <w:rPr>
          <w:rFonts w:ascii="Century Gothic" w:hAnsi="Century Gothic" w:hint="default"/>
          <w:i w:val="0"/>
          <w:iCs w:val="0"/>
          <w:rtl w:val="0"/>
          <w:lang w:val="es-ES_tradnl"/>
          <w14:textOutline>
            <w14:noFill/>
          </w14:textOutline>
        </w:rPr>
        <w:t xml:space="preserve">á </w:t>
      </w:r>
      <w:r>
        <w:rPr>
          <w:rFonts w:ascii="Century Gothic" w:hAnsi="Century Gothic"/>
          <w:i w:val="0"/>
          <w:iCs w:val="0"/>
          <w:rtl w:val="0"/>
          <w:lang w:val="es-ES_tradnl"/>
          <w14:textOutline>
            <w14:noFill/>
          </w14:textOutline>
        </w:rPr>
        <w:t xml:space="preserve">batidas de recogida de residuos en el Alto de Velefique </w:t>
      </w:r>
    </w:p>
    <w:p>
      <w:pPr>
        <w:pStyle w:val="Por omisió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firstLine="0"/>
        <w:jc w:val="left"/>
        <w:rPr>
          <w:rStyle w:val="Ninguno"/>
          <w:rFonts w:ascii="Century Gothic" w:cs="Century Gothic" w:hAnsi="Century Gothic" w:eastAsia="Century Gothic"/>
          <w:i w:val="0"/>
          <w:iCs w:val="0"/>
          <w:sz w:val="22"/>
          <w:szCs w:val="22"/>
          <w14:textOutline>
            <w14:noFill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2"/>
          <w:szCs w:val="22"/>
          <w14:textOutline>
            <w14:noFill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inguno"/>
          <w:rFonts w:ascii="Century Gothic" w:cs="Century Gothic" w:hAnsi="Century Gothic" w:eastAsia="Century Gothic"/>
          <w:b w:val="1"/>
          <w:bCs w:val="1"/>
          <w14:textOutline>
            <w14:noFill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inguno"/>
          <w:rFonts w:ascii="Century Gothic" w:cs="Century Gothic" w:hAnsi="Century Gothic" w:eastAsia="Century Gothic"/>
          <w:sz w:val="26"/>
          <w:szCs w:val="26"/>
          <w14:textOutline>
            <w14:noFill/>
          </w14:textOutline>
        </w:rPr>
      </w:pPr>
      <w:r>
        <w:rPr>
          <w:rStyle w:val="Ninguno"/>
          <w:rFonts w:ascii="Century Gothic" w:hAnsi="Century Gothic"/>
          <w:b w:val="1"/>
          <w:bCs w:val="1"/>
          <w:sz w:val="26"/>
          <w:szCs w:val="26"/>
          <w:rtl w:val="0"/>
          <w:lang w:val="fr-FR"/>
          <w14:textOutline>
            <w14:noFill/>
          </w14:textOutline>
        </w:rPr>
        <w:t xml:space="preserve">Velefique, </w:t>
      </w:r>
      <w:r>
        <w:rPr>
          <w:rStyle w:val="Ninguno"/>
          <w:rFonts w:ascii="Century Gothic" w:hAnsi="Century Gothic"/>
          <w:b w:val="1"/>
          <w:bCs w:val="1"/>
          <w:sz w:val="26"/>
          <w:szCs w:val="26"/>
          <w:rtl w:val="0"/>
          <w:lang w:val="es-ES_tradnl"/>
          <w14:textOutline>
            <w14:noFill/>
          </w14:textOutline>
        </w:rPr>
        <w:t xml:space="preserve">29 </w:t>
      </w:r>
      <w:r>
        <w:rPr>
          <w:rStyle w:val="Ninguno"/>
          <w:rFonts w:ascii="Century Gothic" w:hAnsi="Century Gothic"/>
          <w:b w:val="1"/>
          <w:bCs w:val="1"/>
          <w:sz w:val="26"/>
          <w:szCs w:val="26"/>
          <w:rtl w:val="0"/>
          <w:lang w:val="es-ES_tradnl"/>
          <w14:textOutline>
            <w14:noFill/>
          </w14:textOutline>
        </w:rPr>
        <w:t xml:space="preserve">julio de 2021. </w:t>
      </w:r>
      <w:r>
        <w:rPr>
          <w:rStyle w:val="Ninguno"/>
          <w:rFonts w:ascii="Century Gothic" w:hAnsi="Century Gothic" w:hint="default"/>
          <w:b w:val="1"/>
          <w:bCs w:val="1"/>
          <w:sz w:val="26"/>
          <w:szCs w:val="26"/>
          <w:rtl w:val="0"/>
          <w:lang w:val="es-ES_tradnl"/>
          <w14:textOutline>
            <w14:noFill/>
          </w14:textOutline>
        </w:rPr>
        <w:t>–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>Esta ma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ñ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>ana el Gerente del CRSII ha presentado en Velefique, junto al gerente de Ecovidrio en Andaluc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í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>a, Jes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ú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>s Guti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é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>rrez y Rafael Garc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í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>a, Alcalde de Velefique, (municipio que ser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á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 xml:space="preserve"> protagonista de la etapa 9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 xml:space="preserve"> de La Vuelta)</w:t>
      </w:r>
      <w:r>
        <w:rPr>
          <w:rStyle w:val="Ninguno"/>
          <w:rFonts w:ascii="Century Gothic" w:hAnsi="Century Gothic"/>
          <w:sz w:val="26"/>
          <w:szCs w:val="26"/>
          <w:rtl w:val="0"/>
          <w14:textOutline>
            <w14:noFill/>
          </w14:textOutline>
        </w:rPr>
        <w:t xml:space="preserve"> 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 xml:space="preserve">los </w:t>
      </w:r>
      <w:r>
        <w:rPr>
          <w:rStyle w:val="Ninguno"/>
          <w:rFonts w:ascii="Century Gothic" w:hAnsi="Century Gothic"/>
          <w:b w:val="1"/>
          <w:bCs w:val="1"/>
          <w:sz w:val="26"/>
          <w:szCs w:val="26"/>
          <w:rtl w:val="0"/>
          <w:lang w:val="es-ES_tradnl"/>
          <w14:textOutline>
            <w14:noFill/>
          </w14:textOutline>
        </w:rPr>
        <w:t xml:space="preserve">contenedores de reciclaje </w:t>
      </w:r>
      <w:r>
        <w:rPr>
          <w:rStyle w:val="Ninguno"/>
          <w:rFonts w:ascii="Century Gothic" w:hAnsi="Century Gothic"/>
          <w:b w:val="1"/>
          <w:bCs w:val="1"/>
          <w:sz w:val="26"/>
          <w:szCs w:val="26"/>
          <w:rtl w:val="0"/>
          <w:lang w:val="es-ES_tradnl"/>
          <w14:textOutline>
            <w14:noFill/>
          </w14:textOutline>
        </w:rPr>
        <w:t xml:space="preserve">especialmente vinilados 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>para la ocasi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ó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 xml:space="preserve">n 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 xml:space="preserve">para promover el reciclaje y concienciar a sus vecinos sobre el cuidado del medio ambiente y el impacto que tienen nuestros actos en 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é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>l. Adem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á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>s, con todos los residuos que se depositen en estos contenedores hasta el paso de La Vuelta, Ecovidrio dise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ñ</w:t>
      </w:r>
      <w:r>
        <w:rPr>
          <w:rStyle w:val="Ninguno"/>
          <w:rFonts w:ascii="Century Gothic" w:hAnsi="Century Gothic"/>
          <w:sz w:val="26"/>
          <w:szCs w:val="26"/>
          <w:rtl w:val="0"/>
          <w14:textOutline>
            <w14:noFill/>
          </w14:textOutline>
        </w:rPr>
        <w:t>ar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á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 xml:space="preserve"> un trofeo sostenible que entregar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 xml:space="preserve">á 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>al ganador de esa etapa el pr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ó</w:t>
      </w:r>
      <w:r>
        <w:rPr>
          <w:rStyle w:val="Ninguno"/>
          <w:rFonts w:ascii="Century Gothic" w:hAnsi="Century Gothic"/>
          <w:sz w:val="26"/>
          <w:szCs w:val="26"/>
          <w:rtl w:val="0"/>
          <w:lang w:val="pt-PT"/>
          <w14:textOutline>
            <w14:noFill/>
          </w14:textOutline>
        </w:rPr>
        <w:t>ximo 22 de agosto.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mbria" w:cs="Cambria" w:hAnsi="Cambria" w:eastAsia="Cambria"/>
          <w:sz w:val="26"/>
          <w:szCs w:val="26"/>
          <w14:textOutline>
            <w14:noFill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inguno"/>
          <w:rFonts w:ascii="Century Gothic" w:cs="Century Gothic" w:hAnsi="Century Gothic" w:eastAsia="Century Gothic"/>
          <w:sz w:val="26"/>
          <w:szCs w:val="26"/>
          <w14:textOutline>
            <w14:noFill/>
          </w14:textOutline>
        </w:rPr>
      </w:pP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>El Consorcio se implica as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 xml:space="preserve">í 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>una vez m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á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 xml:space="preserve">s con Ecovidrio 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>para seguir sumando fuerzas y visibilizar a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ú</w:t>
      </w:r>
      <w:r>
        <w:rPr>
          <w:rStyle w:val="Ninguno"/>
          <w:rFonts w:ascii="Century Gothic" w:hAnsi="Century Gothic"/>
          <w:sz w:val="26"/>
          <w:szCs w:val="26"/>
          <w:rtl w:val="0"/>
          <w14:textOutline>
            <w14:noFill/>
          </w14:textOutline>
        </w:rPr>
        <w:t>n m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á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>s el compromiso con el medioambiente, convirtiendo as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 xml:space="preserve">í 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>el evento en un aut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é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 xml:space="preserve">ntico ejemplo de sostenibilidad.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inguno"/>
          <w:rFonts w:ascii="Century Gothic" w:cs="Century Gothic" w:hAnsi="Century Gothic" w:eastAsia="Century Gothic"/>
          <w:sz w:val="26"/>
          <w:szCs w:val="26"/>
          <w14:textOutline>
            <w14:noFill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inguno"/>
          <w:rFonts w:ascii="Century Gothic" w:cs="Century Gothic" w:hAnsi="Century Gothic" w:eastAsia="Century Gothic"/>
          <w:sz w:val="26"/>
          <w:szCs w:val="26"/>
          <w14:textOutline>
            <w14:noFill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inguno"/>
          <w:rFonts w:ascii="Century Gothic" w:cs="Century Gothic" w:hAnsi="Century Gothic" w:eastAsia="Century Gothic"/>
          <w:sz w:val="26"/>
          <w:szCs w:val="26"/>
          <w14:textOutline>
            <w14:noFill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inguno"/>
          <w:rFonts w:ascii="Century Gothic" w:cs="Century Gothic" w:hAnsi="Century Gothic" w:eastAsia="Century Gothic"/>
          <w:sz w:val="26"/>
          <w:szCs w:val="26"/>
          <w14:textOutline>
            <w14:noFill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inguno"/>
          <w:rFonts w:ascii="Century Gothic" w:cs="Century Gothic" w:hAnsi="Century Gothic" w:eastAsia="Century Gothic"/>
          <w:sz w:val="26"/>
          <w:szCs w:val="26"/>
          <w14:textOutline>
            <w14:noFill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cs="Century Gothic" w:hAnsi="Century Gothic" w:eastAsia="Century Gothic"/>
          <w:sz w:val="26"/>
          <w:szCs w:val="26"/>
          <w14:textOutline>
            <w14:noFill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inguno"/>
          <w:rFonts w:ascii="Century Gothic" w:cs="Century Gothic" w:hAnsi="Century Gothic" w:eastAsia="Century Gothic"/>
          <w:sz w:val="26"/>
          <w:szCs w:val="26"/>
          <w14:textOutline>
            <w14:noFill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6"/>
          <w:szCs w:val="26"/>
          <w:u w:color="009036"/>
          <w14:textOutline>
            <w14:noFill/>
          </w14:textOutline>
        </w:rPr>
      </w:pPr>
      <w:r>
        <w:rPr>
          <w:rStyle w:val="Ninguno"/>
          <w:rFonts w:ascii="Century Gothic" w:hAnsi="Century Gothic"/>
          <w:b w:val="1"/>
          <w:bCs w:val="1"/>
          <w:sz w:val="26"/>
          <w:szCs w:val="26"/>
          <w:u w:color="009036"/>
          <w:rtl w:val="0"/>
          <w:lang w:val="es-ES_tradnl"/>
          <w14:textOutline>
            <w14:noFill/>
          </w14:textOutline>
        </w:rPr>
        <w:t>Velefique, un municipio comprometido con la sostenibilidad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jc w:val="both"/>
        <w:rPr>
          <w:rFonts w:ascii="Century Gothic" w:cs="Century Gothic" w:hAnsi="Century Gothic" w:eastAsia="Century Gothic"/>
          <w:b w:val="1"/>
          <w:bCs w:val="1"/>
          <w:outline w:val="0"/>
          <w:color w:val="009036"/>
          <w:sz w:val="26"/>
          <w:szCs w:val="26"/>
          <w:u w:color="009036"/>
          <w14:textOutline>
            <w14:noFill/>
          </w14:textOutline>
          <w14:textFill>
            <w14:solidFill>
              <w14:srgbClr w14:val="009036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inguno"/>
          <w:rFonts w:ascii="Century Gothic" w:cs="Century Gothic" w:hAnsi="Century Gothic" w:eastAsia="Century Gothic"/>
          <w:sz w:val="26"/>
          <w:szCs w:val="26"/>
          <w14:textOutline>
            <w14:noFill/>
          </w14:textOutline>
        </w:rPr>
      </w:pPr>
      <w:r>
        <w:rPr>
          <w:rStyle w:val="Ninguno"/>
          <w:rFonts w:ascii="Century Gothic" w:hAnsi="Century Gothic"/>
          <w:sz w:val="26"/>
          <w:szCs w:val="26"/>
          <w:rtl w:val="0"/>
          <w:lang w:val="pt-PT"/>
          <w14:textOutline>
            <w14:noFill/>
          </w14:textOutline>
        </w:rPr>
        <w:t>Seg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ú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 xml:space="preserve">n los 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ú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 xml:space="preserve">ltimos datos relativos a 2020, los 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>vecinos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 xml:space="preserve"> de Velefique reciclaron un total de 3.000 kg de vidrio, una media de 13,1 kg por habitante y una media de 77 habitantes por contenedor. 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036"/>
          <w:u w:color="009036"/>
          <w14:textOutline>
            <w14:noFill/>
          </w14:textOutline>
          <w14:textFill>
            <w14:solidFill>
              <w14:srgbClr w14:val="009036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inguno"/>
          <w:rFonts w:ascii="Century Gothic" w:cs="Century Gothic" w:hAnsi="Century Gothic" w:eastAsia="Century Gothic"/>
          <w:sz w:val="20"/>
          <w:szCs w:val="20"/>
          <w14:textOutline>
            <w14:noFill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inguno"/>
          <w:rFonts w:ascii="Century Gothic" w:cs="Century Gothic" w:hAnsi="Century Gothic" w:eastAsia="Century Gothic"/>
          <w14:textOutline>
            <w14:noFill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inguno"/>
          <w:rFonts w:ascii="Century Gothic" w:cs="Century Gothic" w:hAnsi="Century Gothic" w:eastAsia="Century Gothic"/>
          <w:sz w:val="26"/>
          <w:szCs w:val="26"/>
          <w14:textOutline>
            <w14:noFill/>
          </w14:textOutline>
        </w:rPr>
      </w:pP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 xml:space="preserve">Desde el CRSII y Ecovidrio, queremos recordar que el 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>reciclado de envases de vidrio ahorra materias primas, energ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í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>a, evita las emisiones de CO2 a la atm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ó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>sfera y el aumento de residuos que van al vertedero, lo que constituye un elemento esencial de minimizaci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ó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>n de los efectos del cambio clim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á</w:t>
      </w:r>
      <w:r>
        <w:rPr>
          <w:rStyle w:val="Ninguno"/>
          <w:rFonts w:ascii="Century Gothic" w:hAnsi="Century Gothic"/>
          <w:sz w:val="26"/>
          <w:szCs w:val="26"/>
          <w:rtl w:val="0"/>
          <w:lang w:val="it-IT"/>
          <w14:textOutline>
            <w14:noFill/>
          </w14:textOutline>
        </w:rPr>
        <w:t>tico.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entury Gothic" w:cs="Century Gothic" w:hAnsi="Century Gothic" w:eastAsia="Century Gothic"/>
          <w:sz w:val="26"/>
          <w:szCs w:val="26"/>
          <w14:textOutline>
            <w14:noFill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>Cada vez que un ciudadano recicla tres botellas de vidrio, reduce en un kilo la basura que va al vertedero y se ahorra la suficiente energ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í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>a como para cargar la bater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í</w:t>
      </w:r>
      <w:r>
        <w:rPr>
          <w:rStyle w:val="Ninguno"/>
          <w:rFonts w:ascii="Century Gothic" w:hAnsi="Century Gothic"/>
          <w:sz w:val="26"/>
          <w:szCs w:val="26"/>
          <w:rtl w:val="0"/>
          <w:lang w:val="it-IT"/>
          <w14:textOutline>
            <w14:noFill/>
          </w14:textOutline>
        </w:rPr>
        <w:t>a de un Smartphone durante un a</w:t>
      </w:r>
      <w:r>
        <w:rPr>
          <w:rStyle w:val="Ninguno"/>
          <w:rFonts w:ascii="Century Gothic" w:hAnsi="Century Gothic" w:hint="default"/>
          <w:sz w:val="26"/>
          <w:szCs w:val="26"/>
          <w:rtl w:val="0"/>
          <w:lang w:val="es-ES_tradnl"/>
          <w14:textOutline>
            <w14:noFill/>
          </w14:textOutline>
        </w:rPr>
        <w:t>ñ</w:t>
      </w:r>
      <w:r>
        <w:rPr>
          <w:rStyle w:val="Ninguno"/>
          <w:rFonts w:ascii="Century Gothic" w:hAnsi="Century Gothic"/>
          <w:sz w:val="26"/>
          <w:szCs w:val="26"/>
          <w:rtl w:val="0"/>
          <w:lang w:val="es-ES_tradnl"/>
          <w14:textOutline>
            <w14:noFill/>
          </w14:textOutline>
        </w:rPr>
        <w:t>o, poner tres lavadoras o lavar tres veces toda la ropa de una familia de cuatro miembros.</w:t>
      </w:r>
    </w:p>
    <w:sectPr>
      <w:headerReference w:type="default" r:id="rId4"/>
      <w:footerReference w:type="default" r:id="rId5"/>
      <w:pgSz w:w="11900" w:h="16840" w:orient="portrait"/>
      <w:pgMar w:top="1418" w:right="1701" w:bottom="1418" w:left="170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 Gothic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pBdr>
        <w:top w:val="single" w:color="808080" w:sz="4" w:space="0" w:shadow="0" w:frame="0"/>
        <w:left w:val="nil"/>
        <w:bottom w:val="nil"/>
        <w:right w:val="nil"/>
      </w:pBdr>
      <w:tabs>
        <w:tab w:val="left" w:pos="284"/>
        <w:tab w:val="right" w:pos="8080"/>
      </w:tabs>
      <w:rPr>
        <w:rStyle w:val="Ninguno"/>
        <w:rFonts w:ascii="Arial" w:cs="Arial" w:hAnsi="Arial" w:eastAsia="Arial"/>
        <w:sz w:val="16"/>
        <w:szCs w:val="16"/>
      </w:rPr>
    </w:pPr>
    <w:r>
      <w:rPr>
        <w:rStyle w:val="Ninguno"/>
        <w:rFonts w:ascii="Arial" w:cs="Arial" w:hAnsi="Arial" w:eastAsia="Arial"/>
        <w:sz w:val="16"/>
        <w:szCs w:val="16"/>
      </w:rPr>
      <w:tab/>
    </w:r>
  </w:p>
  <w:p>
    <w:pPr>
      <w:pStyle w:val="Normal.0"/>
      <w:tabs>
        <w:tab w:val="left" w:pos="284"/>
        <w:tab w:val="right" w:pos="8222"/>
      </w:tabs>
      <w:rPr>
        <w:rStyle w:val="Ninguno"/>
        <w:rFonts w:ascii="Arial" w:cs="Arial" w:hAnsi="Arial" w:eastAsia="Arial"/>
        <w:sz w:val="16"/>
        <w:szCs w:val="16"/>
      </w:rPr>
    </w:pP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      C/ Tulip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á</w:t>
    </w:r>
    <w:r>
      <w:rPr>
        <w:rStyle w:val="Ninguno"/>
        <w:rFonts w:ascii="Arial" w:hAnsi="Arial"/>
        <w:sz w:val="16"/>
        <w:szCs w:val="16"/>
        <w:rtl w:val="0"/>
        <w:lang w:val="es-ES_tradnl"/>
      </w:rPr>
      <w:t>n, 1-1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 xml:space="preserve">º </w:t>
    </w:r>
    <w:r>
      <w:rPr>
        <w:rStyle w:val="Ninguno"/>
        <w:rFonts w:ascii="Arial" w:hAnsi="Arial"/>
        <w:sz w:val="16"/>
        <w:szCs w:val="16"/>
        <w:rtl w:val="0"/>
        <w:lang w:val="es-ES_tradnl"/>
      </w:rPr>
      <w:t>Oficina 8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ª</w:t>
      <w:tab/>
    </w:r>
    <w:r>
      <w:rPr>
        <w:rStyle w:val="Ninguno"/>
        <w:rFonts w:ascii="Arial" w:hAnsi="Arial"/>
        <w:sz w:val="16"/>
        <w:szCs w:val="16"/>
        <w:rtl w:val="0"/>
        <w:lang w:val="es-ES_tradnl"/>
      </w:rPr>
      <w:t>04410-Benahadux (Almer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í</w:t>
    </w:r>
    <w:r>
      <w:rPr>
        <w:rStyle w:val="Ninguno"/>
        <w:rFonts w:ascii="Arial" w:hAnsi="Arial"/>
        <w:sz w:val="16"/>
        <w:szCs w:val="16"/>
        <w:rtl w:val="0"/>
        <w:lang w:val="es-ES_tradnl"/>
      </w:rPr>
      <w:t>a)</w:t>
    </w:r>
  </w:p>
  <w:p>
    <w:pPr>
      <w:pStyle w:val="Normal.0"/>
      <w:tabs>
        <w:tab w:val="left" w:pos="284"/>
        <w:tab w:val="right" w:pos="8222"/>
      </w:tabs>
      <w:rPr>
        <w:rStyle w:val="Ninguno"/>
        <w:rFonts w:ascii="Arial" w:cs="Arial" w:hAnsi="Arial" w:eastAsia="Arial"/>
        <w:sz w:val="16"/>
        <w:szCs w:val="16"/>
      </w:rPr>
    </w:pP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      Tel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é</w:t>
    </w:r>
    <w:r>
      <w:rPr>
        <w:rStyle w:val="Ninguno"/>
        <w:rFonts w:ascii="Arial" w:hAnsi="Arial"/>
        <w:sz w:val="16"/>
        <w:szCs w:val="16"/>
        <w:rtl w:val="0"/>
        <w:lang w:val="es-ES_tradnl"/>
      </w:rPr>
      <w:t>fono: 950312202</w:t>
      <w:tab/>
      <w:t>Fax: 950951035</w:t>
    </w:r>
  </w:p>
  <w:p>
    <w:pPr>
      <w:pStyle w:val="Normal.0"/>
      <w:tabs>
        <w:tab w:val="left" w:pos="284"/>
        <w:tab w:val="right" w:pos="8222"/>
      </w:tabs>
    </w:pP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    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"http://www.consorcio2.almeria.es"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s-ES_tradnl"/>
      </w:rPr>
      <w:t>www.consorcio2.almeria.es</w:t>
    </w:r>
    <w:r>
      <w:rPr/>
      <w:fldChar w:fldCharType="end" w:fldLock="0"/>
    </w:r>
    <w:r>
      <w:rPr>
        <w:rStyle w:val="Ninguno"/>
        <w:rFonts w:ascii="Arial" w:cs="Arial" w:hAnsi="Arial" w:eastAsia="Arial"/>
        <w:sz w:val="16"/>
        <w:szCs w:val="16"/>
        <w:rtl w:val="0"/>
      </w:rPr>
      <w:tab/>
      <w:t>consorciosector2@dipalme.org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-350519</wp:posOffset>
              </wp:positionH>
              <wp:positionV relativeFrom="page">
                <wp:posOffset>5184775</wp:posOffset>
              </wp:positionV>
              <wp:extent cx="1168400" cy="323850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68400" cy="323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outline w:val="0"/>
                              <w:color w:val="c0c0c0"/>
                              <w:u w:color="c0c0c0"/>
                              <w:rtl w:val="0"/>
                              <w:lang w:val="es-ES_tradnl"/>
                              <w14:textFill>
                                <w14:solidFill>
                                  <w14:srgbClr w14:val="C0C0C0"/>
                                </w14:solidFill>
                              </w14:textFill>
                            </w:rPr>
                            <w:t>NIF V04408548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-27.6pt;margin-top:408.2pt;width:92.0pt;height:25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jc w:val="center"/>
                    </w:pPr>
                    <w:r>
                      <w:rPr>
                        <w:rStyle w:val="Ninguno"/>
                        <w:rFonts w:ascii="Arial" w:hAnsi="Arial"/>
                        <w:outline w:val="0"/>
                        <w:color w:val="c0c0c0"/>
                        <w:u w:color="c0c0c0"/>
                        <w:rtl w:val="0"/>
                        <w:lang w:val="es-ES_tradnl"/>
                        <w14:textFill>
                          <w14:solidFill>
                            <w14:srgbClr w14:val="C0C0C0"/>
                          </w14:solidFill>
                        </w14:textFill>
                      </w:rPr>
                      <w:t>NIF V04408548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1932938</wp:posOffset>
          </wp:positionH>
          <wp:positionV relativeFrom="page">
            <wp:posOffset>81912</wp:posOffset>
          </wp:positionV>
          <wp:extent cx="3695066" cy="508000"/>
          <wp:effectExtent l="0" t="0" r="0" b="0"/>
          <wp:wrapNone/>
          <wp:docPr id="1073741826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officeArt objec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066" cy="50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4601209</wp:posOffset>
          </wp:positionH>
          <wp:positionV relativeFrom="page">
            <wp:posOffset>10163175</wp:posOffset>
          </wp:positionV>
          <wp:extent cx="230505" cy="230505"/>
          <wp:effectExtent l="42185" t="42185" r="42185" b="42185"/>
          <wp:wrapNone/>
          <wp:docPr id="1073741827" name="officeArt object" descr="Ver detal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Ver detalles" descr="Ver detalles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 rot="1800000">
                    <a:off x="0" y="0"/>
                    <a:ext cx="230505" cy="2305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Normal.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s"/>
  </w:abstractNum>
  <w:abstractNum w:abstractNumId="1">
    <w:multiLevelType w:val="hybridMultilevel"/>
    <w:styleLink w:val="Viñetas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79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99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619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339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059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779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99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219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rFonts w:ascii="Arial" w:cs="Arial" w:hAnsi="Arial" w:eastAsia="Arial"/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alibri" w:cs="Calibri" w:hAnsi="Calibri" w:eastAsia="Calibri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Viñetas">
    <w:name w:val="Viñeta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